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684FFCCC" w:rsidR="007A5C24" w:rsidRDefault="00672740" w:rsidP="00672740">
      <w:pPr>
        <w:jc w:val="center"/>
        <w:rPr>
          <w:b/>
          <w:sz w:val="28"/>
          <w:szCs w:val="28"/>
        </w:rPr>
      </w:pPr>
      <w:r>
        <w:rPr>
          <w:b/>
          <w:sz w:val="28"/>
          <w:szCs w:val="28"/>
        </w:rPr>
        <w:t>Grozījums Talsu novada pašvaldības domes 202</w:t>
      </w:r>
      <w:r w:rsidR="00751DD4">
        <w:rPr>
          <w:b/>
          <w:sz w:val="28"/>
          <w:szCs w:val="28"/>
        </w:rPr>
        <w:t>1</w:t>
      </w:r>
      <w:r>
        <w:rPr>
          <w:b/>
          <w:sz w:val="28"/>
          <w:szCs w:val="28"/>
        </w:rPr>
        <w:t>.gada 2</w:t>
      </w:r>
      <w:r w:rsidR="005A65E3">
        <w:rPr>
          <w:b/>
          <w:sz w:val="28"/>
          <w:szCs w:val="28"/>
        </w:rPr>
        <w:t>9</w:t>
      </w:r>
      <w:r>
        <w:rPr>
          <w:b/>
          <w:sz w:val="28"/>
          <w:szCs w:val="28"/>
        </w:rPr>
        <w:t>.</w:t>
      </w:r>
      <w:r w:rsidR="005A65E3">
        <w:rPr>
          <w:b/>
          <w:sz w:val="28"/>
          <w:szCs w:val="28"/>
        </w:rPr>
        <w:t>decembra</w:t>
      </w:r>
      <w:r>
        <w:rPr>
          <w:b/>
          <w:sz w:val="28"/>
          <w:szCs w:val="28"/>
        </w:rPr>
        <w:t xml:space="preserve"> saistošajos noteikumos Nr.</w:t>
      </w:r>
      <w:r w:rsidR="00751DD4">
        <w:rPr>
          <w:b/>
          <w:sz w:val="28"/>
          <w:szCs w:val="28"/>
        </w:rPr>
        <w:t>45</w:t>
      </w:r>
      <w:r>
        <w:rPr>
          <w:b/>
          <w:sz w:val="28"/>
          <w:szCs w:val="28"/>
        </w:rPr>
        <w:t xml:space="preserve"> “</w:t>
      </w:r>
      <w:r w:rsidR="00751DD4">
        <w:rPr>
          <w:b/>
          <w:sz w:val="28"/>
          <w:szCs w:val="28"/>
        </w:rPr>
        <w:t>Sabiedrisko ūdenssaimniecības pakalpojumu sniegšanas un lietošanas kārtība Talsu novadā</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0006AFC9" w:rsidR="007A5C24" w:rsidRPr="00DF6351" w:rsidRDefault="00A33E4C" w:rsidP="00AB30A6">
            <w:pPr>
              <w:jc w:val="both"/>
              <w:rPr>
                <w:bCs/>
                <w:i/>
                <w:iCs/>
              </w:rPr>
            </w:pPr>
            <w:r w:rsidRPr="00DF6351">
              <w:rPr>
                <w:bCs/>
                <w:i/>
                <w:iCs/>
              </w:rPr>
              <w:t xml:space="preserve">Izdoti saskaņā ar </w:t>
            </w:r>
            <w:r w:rsidR="00751DD4">
              <w:rPr>
                <w:bCs/>
                <w:i/>
                <w:iCs/>
              </w:rPr>
              <w:t>Ūdenssaimniecības pakalpojumu likuma 6.panta ceturtās daļas 1., 2., 3., 4.punktu, 6.panta piekto daļu</w:t>
            </w:r>
          </w:p>
        </w:tc>
      </w:tr>
    </w:tbl>
    <w:p w14:paraId="11BF0381" w14:textId="77777777" w:rsidR="00FF0500" w:rsidRDefault="00FF0500" w:rsidP="00AB30A6">
      <w:pPr>
        <w:tabs>
          <w:tab w:val="left" w:pos="567"/>
        </w:tabs>
        <w:overflowPunct/>
        <w:autoSpaceDE/>
        <w:adjustRightInd/>
        <w:jc w:val="both"/>
        <w:textAlignment w:val="auto"/>
      </w:pPr>
    </w:p>
    <w:p w14:paraId="41AC29D4" w14:textId="52B61332" w:rsidR="00672740" w:rsidRDefault="00672740" w:rsidP="00672740">
      <w:pPr>
        <w:tabs>
          <w:tab w:val="left" w:pos="567"/>
        </w:tabs>
        <w:overflowPunct/>
        <w:autoSpaceDE/>
        <w:adjustRightInd/>
        <w:jc w:val="both"/>
        <w:textAlignment w:val="auto"/>
      </w:pPr>
      <w:r>
        <w:tab/>
        <w:t>Izdarīt Talsu novada pašvaldības domes 202</w:t>
      </w:r>
      <w:r w:rsidR="00751DD4">
        <w:t>1</w:t>
      </w:r>
      <w:r>
        <w:t>.</w:t>
      </w:r>
      <w:r w:rsidR="0037010B">
        <w:t> </w:t>
      </w:r>
      <w:r>
        <w:t>gada 2</w:t>
      </w:r>
      <w:r w:rsidR="005A65E3">
        <w:t>9</w:t>
      </w:r>
      <w:r>
        <w:t>.</w:t>
      </w:r>
      <w:r w:rsidR="0037010B">
        <w:t> </w:t>
      </w:r>
      <w:r w:rsidR="005A65E3">
        <w:t>decembra</w:t>
      </w:r>
      <w:r>
        <w:t xml:space="preserve"> saistošajos noteikumos Nr.</w:t>
      </w:r>
      <w:r w:rsidR="00751DD4">
        <w:t>45</w:t>
      </w:r>
      <w:r>
        <w:t xml:space="preserve"> “</w:t>
      </w:r>
      <w:r w:rsidR="00751DD4" w:rsidRPr="00751DD4">
        <w:t>Sabiedrisko ūdenssaimniecības pakalpojumu sniegšanas un lietošanas kārtība Talsu novadā</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082FBB09" w14:textId="2E0B4320" w:rsidR="00DF6351" w:rsidRPr="00DF6351" w:rsidRDefault="00DF6351" w:rsidP="00672740">
      <w:pPr>
        <w:tabs>
          <w:tab w:val="left" w:pos="567"/>
        </w:tabs>
        <w:overflowPunct/>
        <w:autoSpaceDE/>
        <w:adjustRightInd/>
        <w:jc w:val="both"/>
        <w:textAlignment w:val="auto"/>
      </w:pPr>
      <w:r w:rsidRPr="00DF6351">
        <w:t>“</w:t>
      </w:r>
      <w:r w:rsidRPr="00DF6351">
        <w:rPr>
          <w:bCs/>
        </w:rPr>
        <w:t xml:space="preserve">Izdoti saskaņā ar </w:t>
      </w:r>
      <w:r w:rsidRPr="00DF6351">
        <w:t xml:space="preserve">likuma </w:t>
      </w:r>
      <w:r w:rsidR="00751DD4" w:rsidRPr="00751DD4">
        <w:t>Ūdenssaimniecības pakalpojumu likuma 6.</w:t>
      </w:r>
      <w:r w:rsidR="0037010B">
        <w:t> </w:t>
      </w:r>
      <w:r w:rsidR="00751DD4" w:rsidRPr="00751DD4">
        <w:t>panta ceturtās daļas 1., 2., 3., 4.</w:t>
      </w:r>
      <w:r w:rsidR="0037010B">
        <w:t> </w:t>
      </w:r>
      <w:r w:rsidR="00751DD4" w:rsidRPr="00751DD4">
        <w:t>punktu, 6</w:t>
      </w:r>
      <w:r w:rsidR="0037010B">
        <w:t> </w:t>
      </w:r>
      <w:r w:rsidR="00751DD4" w:rsidRPr="00751DD4">
        <w:t>.panta piekto daļu</w:t>
      </w:r>
      <w:r w:rsidRPr="00DF6351">
        <w:t>”</w:t>
      </w:r>
      <w:r>
        <w:t>.</w:t>
      </w:r>
    </w:p>
    <w:p w14:paraId="15AF8123" w14:textId="77777777" w:rsidR="00672740" w:rsidRPr="00C64C63" w:rsidRDefault="00672740"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18D9595E" w:rsidR="007A5C24" w:rsidRDefault="007A5C24" w:rsidP="00AB30A6">
            <w:pPr>
              <w:suppressAutoHyphens/>
              <w:overflowPunct/>
              <w:autoSpaceDE/>
              <w:adjustRightInd/>
              <w:jc w:val="right"/>
              <w:rPr>
                <w:lang w:eastAsia="zh-CN" w:bidi="lo-LA"/>
              </w:rPr>
            </w:pPr>
            <w:r>
              <w:rPr>
                <w:lang w:eastAsia="zh-CN" w:bidi="lo-LA"/>
              </w:rPr>
              <w:t>A.</w:t>
            </w:r>
            <w:r w:rsidR="0037010B">
              <w:rPr>
                <w:lang w:eastAsia="zh-CN" w:bidi="lo-LA"/>
              </w:rPr>
              <w:t> </w:t>
            </w: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0F19DF77" w:rsidR="00781CB7" w:rsidRPr="00DF6351" w:rsidRDefault="00781CB7" w:rsidP="00781CB7">
      <w:pPr>
        <w:spacing w:line="276" w:lineRule="auto"/>
        <w:jc w:val="center"/>
      </w:pPr>
      <w:r w:rsidRPr="00DF6351">
        <w:t>“</w:t>
      </w:r>
      <w:r w:rsidR="00A33E4C" w:rsidRPr="00DF6351">
        <w:t>Grozījums Talsu novada pašvaldības domes 202</w:t>
      </w:r>
      <w:r w:rsidR="00751DD4">
        <w:t>1</w:t>
      </w:r>
      <w:r w:rsidR="00A33E4C" w:rsidRPr="00DF6351">
        <w:t>.gada 2</w:t>
      </w:r>
      <w:r w:rsidR="005A65E3">
        <w:t>9</w:t>
      </w:r>
      <w:r w:rsidR="00A33E4C" w:rsidRPr="00DF6351">
        <w:t>.</w:t>
      </w:r>
      <w:r w:rsidR="005A65E3">
        <w:t>decembra</w:t>
      </w:r>
      <w:r w:rsidR="00A33E4C" w:rsidRPr="00DF6351">
        <w:t xml:space="preserve"> saistošajos noteikumos Nr.</w:t>
      </w:r>
      <w:r w:rsidR="00751DD4">
        <w:t>45</w:t>
      </w:r>
      <w:r w:rsidR="00A33E4C" w:rsidRPr="00DF6351">
        <w:t xml:space="preserve"> “</w:t>
      </w:r>
      <w:r w:rsidR="00751DD4" w:rsidRPr="00751DD4">
        <w:t xml:space="preserve">Sabiedrisko ūdenssaimniecības pakalpojumu sniegšanas un </w:t>
      </w:r>
      <w:r w:rsidR="00751DD4">
        <w:br/>
      </w:r>
      <w:r w:rsidR="00751DD4" w:rsidRPr="00751DD4">
        <w:t>lietošanas kārtība Talsu novadā</w:t>
      </w:r>
      <w:r w:rsidR="00732441" w:rsidRPr="00DF6351">
        <w:t>”</w:t>
      </w:r>
      <w:r w:rsidRPr="00DF6351">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19DBE2FF" w14:textId="77777777" w:rsidR="00A33E4C" w:rsidRDefault="00A33E4C" w:rsidP="00A33E4C">
      <w:pPr>
        <w:spacing w:line="276" w:lineRule="auto"/>
        <w:jc w:val="both"/>
      </w:pPr>
    </w:p>
    <w:p w14:paraId="77B40F41" w14:textId="27733DE5" w:rsidR="00751DD4" w:rsidRPr="00751DD4" w:rsidRDefault="00751DD4" w:rsidP="00751DD4">
      <w:pPr>
        <w:spacing w:line="276" w:lineRule="auto"/>
        <w:ind w:firstLine="567"/>
        <w:jc w:val="both"/>
        <w:rPr>
          <w:bCs/>
        </w:rPr>
      </w:pPr>
      <w:r w:rsidRPr="00751DD4">
        <w:rPr>
          <w:bCs/>
        </w:rPr>
        <w:t>2023.gada 1.janvārī stājies spēkā Pašvaldību likums. Pašvaldību likuma Pārejas noteikumu 1.punkts nosaka, ka ar šā likuma spēkā stāšanos spēku zaudē likums “Par pašvaldībām”.</w:t>
      </w:r>
    </w:p>
    <w:p w14:paraId="51BA25A7" w14:textId="77777777" w:rsidR="00751DD4" w:rsidRPr="00751DD4" w:rsidRDefault="00751DD4" w:rsidP="00751DD4">
      <w:pPr>
        <w:spacing w:line="276" w:lineRule="auto"/>
        <w:jc w:val="both"/>
        <w:rPr>
          <w:bCs/>
        </w:rPr>
      </w:pPr>
      <w:r w:rsidRPr="00751DD4">
        <w:rPr>
          <w:bCs/>
        </w:rPr>
        <w:tab/>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6D434704" w14:textId="77777777" w:rsidR="00751DD4" w:rsidRPr="00751DD4" w:rsidRDefault="00751DD4" w:rsidP="00751DD4">
      <w:pPr>
        <w:spacing w:line="276" w:lineRule="auto"/>
        <w:jc w:val="both"/>
        <w:rPr>
          <w:bCs/>
        </w:rPr>
      </w:pPr>
      <w:r w:rsidRPr="00751DD4">
        <w:rPr>
          <w:bCs/>
        </w:rPr>
        <w:tab/>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49084C01" w14:textId="77777777" w:rsidR="00751DD4" w:rsidRPr="00751DD4" w:rsidRDefault="00751DD4" w:rsidP="00751DD4">
      <w:pPr>
        <w:spacing w:line="276" w:lineRule="auto"/>
        <w:jc w:val="both"/>
        <w:rPr>
          <w:bCs/>
        </w:rPr>
      </w:pPr>
      <w:r w:rsidRPr="00751DD4">
        <w:rPr>
          <w:bCs/>
        </w:rPr>
        <w:lastRenderedPageBreak/>
        <w:tab/>
        <w:t xml:space="preserve">Atzīmējams, ka atsevišķos gadījumos saistošie noteikumi izdoti ne tikai uz likuma “Par pašvaldībām” pamata, bet reizē arī uz citu normatīvo aktu pamata. Šādos gadījumos vērtējams, vai pietiek ar saistošo noteikumu izdošanas tiesiskā pamatojuma grozīšanu vai izdodami jauni saistošie noteikumi. </w:t>
      </w:r>
    </w:p>
    <w:p w14:paraId="5E589D66" w14:textId="77777777" w:rsidR="00751DD4" w:rsidRPr="00751DD4" w:rsidRDefault="00751DD4" w:rsidP="00751DD4">
      <w:pPr>
        <w:spacing w:line="276" w:lineRule="auto"/>
        <w:jc w:val="both"/>
        <w:rPr>
          <w:bCs/>
        </w:rPr>
      </w:pPr>
    </w:p>
    <w:p w14:paraId="089B467F" w14:textId="4E1F17F1" w:rsidR="00751DD4" w:rsidRPr="00751DD4" w:rsidRDefault="00751DD4" w:rsidP="00751DD4">
      <w:pPr>
        <w:spacing w:line="276" w:lineRule="auto"/>
        <w:ind w:firstLine="567"/>
        <w:jc w:val="both"/>
        <w:rPr>
          <w:bCs/>
        </w:rPr>
      </w:pPr>
      <w:r w:rsidRPr="00751DD4">
        <w:rPr>
          <w:bCs/>
        </w:rPr>
        <w:t>Talsu novada pašvaldības dome 2021.gada 29.decembrī izdevusi saistošos noteikumus Nr.45 “Sabiedrisko ūdenssaimniecības pakalpojumu sniegšanas un lietošanas kārtība Talsu novadā” (turpmāk – Saistošie noteikumi). Saistošie noteikumi izdoti saskaņā ar likuma “Par pašvaldībām” 43.panta pirmās daļas 11.punktu un Ūdenssaimniecības pakalpojumu likuma 6.panta ceturtās daļas 1., 2., 3., 4.punktu.</w:t>
      </w:r>
    </w:p>
    <w:p w14:paraId="47EC33F4" w14:textId="77777777" w:rsidR="00751DD4" w:rsidRPr="00751DD4" w:rsidRDefault="00751DD4" w:rsidP="00751DD4">
      <w:pPr>
        <w:spacing w:line="276" w:lineRule="auto"/>
        <w:jc w:val="both"/>
        <w:rPr>
          <w:bCs/>
        </w:rPr>
      </w:pPr>
      <w:r w:rsidRPr="00751DD4">
        <w:rPr>
          <w:bCs/>
        </w:rPr>
        <w:tab/>
        <w:t>Likuma “Par pašvaldībām” 43.panta pirmās daļas 11.punkts noteica, ka dome ir tiesīga izdot saistošus noteikumus, paredzot administratīvo atbildību par to pārkāpšanu, par pašvaldības inženierkomunikāciju un transporta infrastruktūras aizsardzību. Minētā tiesību norma pilnvaro pašvaldības domi izdot Saistošos noteikumus.</w:t>
      </w:r>
    </w:p>
    <w:p w14:paraId="4B91EBDC" w14:textId="77777777" w:rsidR="00751DD4" w:rsidRPr="00751DD4" w:rsidRDefault="00751DD4" w:rsidP="00751DD4">
      <w:pPr>
        <w:spacing w:line="276" w:lineRule="auto"/>
        <w:jc w:val="both"/>
        <w:rPr>
          <w:bCs/>
        </w:rPr>
      </w:pPr>
      <w:r w:rsidRPr="00751DD4">
        <w:rPr>
          <w:bCs/>
        </w:rPr>
        <w:tab/>
        <w:t xml:space="preserve">Ūdenssaimniecības pakalpojumu likuma 6.panta ceturtās daļas 1., 2., 3., 4.punkts nosaka, ka vietējās pašvaldības dome izdod saistošos noteikumus, kuros paredz: 1) kārtību, kādā ūdensapgādes tīkli vai kanalizācijas tīkli un būves tiek pievienotas centralizētajai ūdensapgādes sistēmai vai centralizētajai kanalizācijas sistēmai; 2) centralizētās ūdensapgādes sistēmas un centralizētās kanalizācijas sistēmas ekspluatācijas, lietošanas un aizsardzības prasības; </w:t>
      </w:r>
    </w:p>
    <w:p w14:paraId="3812370E" w14:textId="77777777" w:rsidR="00751DD4" w:rsidRPr="00751DD4" w:rsidRDefault="00751DD4" w:rsidP="00751DD4">
      <w:pPr>
        <w:spacing w:line="276" w:lineRule="auto"/>
        <w:jc w:val="both"/>
        <w:rPr>
          <w:bCs/>
        </w:rPr>
      </w:pPr>
      <w:r w:rsidRPr="00751DD4">
        <w:rPr>
          <w:bCs/>
        </w:rPr>
        <w:t xml:space="preserve">3) sabiedriskā ūdenssaimniecības pakalpojuma līgumā ietveramos noteikumus, kā arī tā slēgšanas, grozīšanas un izbeigšanas noteikumus; 4) </w:t>
      </w:r>
      <w:proofErr w:type="spellStart"/>
      <w:r w:rsidRPr="00751DD4">
        <w:rPr>
          <w:bCs/>
        </w:rPr>
        <w:t>brīvkrānu</w:t>
      </w:r>
      <w:proofErr w:type="spellEnd"/>
      <w:r w:rsidRPr="00751DD4">
        <w:rPr>
          <w:bCs/>
        </w:rPr>
        <w:t xml:space="preserve"> izmantošanas kārtību. Savukārt, Ūdenssaimniecības pakalpojumu likuma 6.panta piektā daļa nosaka, ka vietējās pašvaldības dome saistošajos noteikumos var paredzēt administratīvo atbildību par šā panta ceturtās daļas 1., 2., 4. un 5.punktā minēto saistošo noteikumu pārkāpšanu. Minētās tiesību normas pilnvaro pašvaldības domi izdot Saistošos noteikumus. Turklāt minētās tiesību normas aptver arī to regulējumu, kas noteikts likuma “Par pašvaldībām” 43.panta pirmās daļas 11.punktā, tas ir, norāde uz likuma “Par pašvaldībām” 43.panta pirmās daļas 11.punktu ir lieka.</w:t>
      </w:r>
    </w:p>
    <w:p w14:paraId="093E3975" w14:textId="2DD6EFA6" w:rsidR="00A33E4C" w:rsidRDefault="00751DD4" w:rsidP="00751DD4">
      <w:pPr>
        <w:spacing w:line="276" w:lineRule="auto"/>
        <w:jc w:val="both"/>
        <w:rPr>
          <w:bCs/>
        </w:rPr>
      </w:pPr>
      <w:r w:rsidRPr="00751DD4">
        <w:rPr>
          <w:bCs/>
        </w:rPr>
        <w:tab/>
        <w:t>Iepriekš minētais ļauj secināt, ka Saistošos noteikumus iespējams grozīt, tas ir, izteikt to izdošanas pamatojumu jaunā redakcijā.</w:t>
      </w:r>
    </w:p>
    <w:p w14:paraId="35B403D3" w14:textId="77777777" w:rsidR="00751DD4" w:rsidRPr="000C1D5C" w:rsidRDefault="00751DD4" w:rsidP="00751DD4">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A33E4C">
      <w:pPr>
        <w:pStyle w:val="Sarakstarindkopa"/>
        <w:spacing w:line="276" w:lineRule="auto"/>
        <w:ind w:left="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A33E4C">
      <w:pPr>
        <w:ind w:firstLine="567"/>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 xml:space="preserve">Ja paredzēta administratīvā atbildība par saistošo noteikumu pārkāpšanu, pamato tās noteikšanas nepieciešamību un tvērumu, iekļaujot vismaz šādu kritēriju </w:t>
      </w:r>
      <w:proofErr w:type="spellStart"/>
      <w:r w:rsidRPr="000C1D5C">
        <w:t>izvērtējumu</w:t>
      </w:r>
      <w:proofErr w:type="spellEnd"/>
      <w:r w:rsidRPr="000C1D5C">
        <w:t>:</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w:t>
      </w:r>
      <w:proofErr w:type="spellStart"/>
      <w:r w:rsidRPr="000C1D5C">
        <w:t>problēmsituācijas</w:t>
      </w:r>
      <w:proofErr w:type="spellEnd"/>
      <w:r w:rsidRPr="000C1D5C">
        <w:t>),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lastRenderedPageBreak/>
        <w:t xml:space="preserve"> </w:t>
      </w:r>
    </w:p>
    <w:p w14:paraId="3FB82004" w14:textId="68A05BEE" w:rsidR="00781CB7" w:rsidRDefault="00416F90" w:rsidP="009926A4">
      <w:pPr>
        <w:pStyle w:val="Sarakstarindkopa"/>
        <w:tabs>
          <w:tab w:val="left" w:pos="1418"/>
        </w:tabs>
        <w:spacing w:line="276" w:lineRule="auto"/>
        <w:ind w:left="567" w:firstLine="851"/>
        <w:jc w:val="both"/>
      </w:pPr>
      <w:r>
        <w:t>Neattiecināms</w:t>
      </w:r>
      <w:r w:rsidR="00751DD4">
        <w:t>. Te un turpmāk – saistošie noteikumi tikai groza esošo saistošo noteikumu izdošanas tiesisko pamatojumu, tas ir, saistošie noteikumi patstāvīgi neparedz administratīvo atbildību.</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Nodarījuma </w:t>
      </w:r>
      <w:proofErr w:type="spellStart"/>
      <w:r w:rsidRPr="000C1D5C">
        <w:t>attiecināmība</w:t>
      </w:r>
      <w:proofErr w:type="spellEnd"/>
      <w:r w:rsidRPr="000C1D5C">
        <w:t xml:space="preserve">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Vai un ar kādiem administratīvā pārkāpuma procesā esošajiem līdzekļiem būs iespējams </w:t>
      </w:r>
      <w:proofErr w:type="spellStart"/>
      <w:r w:rsidRPr="000C1D5C">
        <w:t>problēmsituācijas</w:t>
      </w:r>
      <w:proofErr w:type="spellEnd"/>
      <w:r w:rsidRPr="000C1D5C">
        <w:t xml:space="preserve">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Saistošo noteikumu </w:t>
      </w:r>
      <w:proofErr w:type="spellStart"/>
      <w:r w:rsidRPr="000C1D5C">
        <w:t>izvērtējums</w:t>
      </w:r>
      <w:proofErr w:type="spellEnd"/>
      <w:r w:rsidRPr="000C1D5C">
        <w:t xml:space="preserve">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 xml:space="preserve">Kuri uzņēmēji ir saistošo noteikumu tiesiskā regulējuma </w:t>
      </w:r>
      <w:proofErr w:type="spellStart"/>
      <w:r w:rsidRPr="000C1D5C">
        <w:t>mērķgrupa</w:t>
      </w:r>
      <w:proofErr w:type="spellEnd"/>
      <w:r w:rsidRPr="000C1D5C">
        <w:t xml:space="preserve"> un vai tiesiskais regulējums radīs </w:t>
      </w:r>
      <w:proofErr w:type="spellStart"/>
      <w:r w:rsidRPr="000C1D5C">
        <w:t>mērķgrupai</w:t>
      </w:r>
      <w:proofErr w:type="spellEnd"/>
      <w:r w:rsidRPr="000C1D5C">
        <w:t xml:space="preserve">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 xml:space="preserve">Ietekme uz konkurenci – iekļauj aktuālās situācijas aprakstu, situāciju un prognozes tirgū (attiecībā uz saistīto pakalpojumu vai preču pieejamību), paredzēto pasākumu atbilstības </w:t>
      </w:r>
      <w:proofErr w:type="spellStart"/>
      <w:r w:rsidRPr="000C1D5C">
        <w:t>izvērtējumu</w:t>
      </w:r>
      <w:proofErr w:type="spellEnd"/>
      <w:r w:rsidRPr="000C1D5C">
        <w:t xml:space="preserve">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Default="00F74470" w:rsidP="00781CB7">
      <w:pPr>
        <w:pStyle w:val="Sarakstarindkopa"/>
        <w:tabs>
          <w:tab w:val="left" w:pos="567"/>
        </w:tabs>
        <w:spacing w:line="276" w:lineRule="auto"/>
        <w:ind w:left="0"/>
        <w:jc w:val="both"/>
      </w:pPr>
      <w:r>
        <w:lastRenderedPageBreak/>
        <w:tab/>
      </w:r>
      <w:r w:rsidRPr="00F74470">
        <w:t>Neietekmē.</w:t>
      </w:r>
    </w:p>
    <w:p w14:paraId="1296A8B8" w14:textId="77777777" w:rsidR="00DF6351" w:rsidRPr="000C1D5C" w:rsidRDefault="00DF6351" w:rsidP="00781CB7">
      <w:pPr>
        <w:pStyle w:val="Sarakstarindkopa"/>
        <w:tabs>
          <w:tab w:val="left" w:pos="567"/>
        </w:tabs>
        <w:spacing w:line="276" w:lineRule="auto"/>
        <w:ind w:left="0"/>
        <w:jc w:val="both"/>
        <w:rPr>
          <w:b/>
          <w:bCs/>
        </w:rPr>
      </w:pP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3799E6D2" w:rsidR="00596A83" w:rsidRDefault="00A33E4C" w:rsidP="00596A83">
      <w:pPr>
        <w:pStyle w:val="Sarakstarindkopa"/>
        <w:spacing w:line="276" w:lineRule="auto"/>
        <w:ind w:left="0" w:firstLine="567"/>
        <w:jc w:val="both"/>
      </w:pPr>
      <w:r>
        <w:t>Centrālā pārvalde</w:t>
      </w:r>
      <w:r w:rsidR="00596A83">
        <w:t>.</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lastRenderedPageBreak/>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lastRenderedPageBreak/>
        <w:t xml:space="preserve">Izmantotais sabiedrības līdzdalības veids (lai atspoguļotu, kā pašvaldības ir centusies sasniegt </w:t>
      </w:r>
      <w:proofErr w:type="spellStart"/>
      <w:r w:rsidRPr="000C1D5C">
        <w:t>mērķgrupu</w:t>
      </w:r>
      <w:proofErr w:type="spellEnd"/>
      <w:r w:rsidRPr="000C1D5C">
        <w:t>,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t xml:space="preserve">Par saistošo noteikumu projektu saņemtie viedokļi pēc saistošo noteikumu projekta publicēšanas sabiedrības viedokļa noskaidrošanai,  to apkopojums un </w:t>
      </w:r>
      <w:proofErr w:type="spellStart"/>
      <w:r w:rsidRPr="004F33D7">
        <w:t>izvērtējums</w:t>
      </w:r>
      <w:proofErr w:type="spellEnd"/>
      <w:r w:rsidRPr="004F33D7">
        <w:t xml:space="preserve">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 xml:space="preserve">No institūcijām saņemtie viedokļi un atzinumi, to apkopojums un </w:t>
      </w:r>
      <w:proofErr w:type="spellStart"/>
      <w:r w:rsidRPr="000C1D5C">
        <w:t>izvērtējums</w:t>
      </w:r>
      <w:proofErr w:type="spellEnd"/>
      <w:r w:rsidRPr="000C1D5C">
        <w:t xml:space="preserve">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77777777" w:rsidR="00781CB7" w:rsidRPr="000C1D5C" w:rsidRDefault="000C1D5C" w:rsidP="007A3531">
            <w:pPr>
              <w:spacing w:line="276" w:lineRule="auto"/>
              <w:jc w:val="right"/>
            </w:pPr>
            <w:proofErr w:type="spellStart"/>
            <w:r>
              <w:t>A.Āboliņš</w:t>
            </w:r>
            <w:proofErr w:type="spellEnd"/>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24C34" w14:textId="77777777" w:rsidR="00C055E3" w:rsidRDefault="00C055E3">
      <w:r>
        <w:separator/>
      </w:r>
    </w:p>
  </w:endnote>
  <w:endnote w:type="continuationSeparator" w:id="0">
    <w:p w14:paraId="1430BF8E" w14:textId="77777777" w:rsidR="00C055E3" w:rsidRDefault="00C0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EB090" w14:textId="77777777" w:rsidR="00C055E3" w:rsidRDefault="00C055E3">
      <w:r>
        <w:separator/>
      </w:r>
    </w:p>
  </w:footnote>
  <w:footnote w:type="continuationSeparator" w:id="0">
    <w:p w14:paraId="34544D33" w14:textId="77777777" w:rsidR="00C055E3" w:rsidRDefault="00C0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9A49DF"/>
    <w:multiLevelType w:val="hybridMultilevel"/>
    <w:tmpl w:val="09BA62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10"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1"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2"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3"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5"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6"/>
  </w:num>
  <w:num w:numId="2" w16cid:durableId="1105034980">
    <w:abstractNumId w:val="2"/>
  </w:num>
  <w:num w:numId="3" w16cid:durableId="987628752">
    <w:abstractNumId w:val="15"/>
  </w:num>
  <w:num w:numId="4" w16cid:durableId="693965632">
    <w:abstractNumId w:val="19"/>
  </w:num>
  <w:num w:numId="5" w16cid:durableId="1585260267">
    <w:abstractNumId w:val="0"/>
  </w:num>
  <w:num w:numId="6" w16cid:durableId="128786138">
    <w:abstractNumId w:val="13"/>
  </w:num>
  <w:num w:numId="7" w16cid:durableId="773212068">
    <w:abstractNumId w:val="7"/>
  </w:num>
  <w:num w:numId="8" w16cid:durableId="562450302">
    <w:abstractNumId w:val="3"/>
  </w:num>
  <w:num w:numId="9" w16cid:durableId="214977405">
    <w:abstractNumId w:val="10"/>
  </w:num>
  <w:num w:numId="10" w16cid:durableId="743796188">
    <w:abstractNumId w:val="11"/>
  </w:num>
  <w:num w:numId="11" w16cid:durableId="718552085">
    <w:abstractNumId w:val="4"/>
  </w:num>
  <w:num w:numId="12" w16cid:durableId="10743514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4"/>
  </w:num>
  <w:num w:numId="15" w16cid:durableId="528493915">
    <w:abstractNumId w:val="9"/>
  </w:num>
  <w:num w:numId="16" w16cid:durableId="1424448460">
    <w:abstractNumId w:val="12"/>
  </w:num>
  <w:num w:numId="17" w16cid:durableId="340164149">
    <w:abstractNumId w:val="8"/>
  </w:num>
  <w:num w:numId="18" w16cid:durableId="1396010020">
    <w:abstractNumId w:val="16"/>
  </w:num>
  <w:num w:numId="19" w16cid:durableId="640699213">
    <w:abstractNumId w:val="5"/>
  </w:num>
  <w:num w:numId="20" w16cid:durableId="11308970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1336"/>
    <w:rsid w:val="001734D7"/>
    <w:rsid w:val="001760B4"/>
    <w:rsid w:val="0017638A"/>
    <w:rsid w:val="00176C87"/>
    <w:rsid w:val="00177959"/>
    <w:rsid w:val="0018117F"/>
    <w:rsid w:val="0018197C"/>
    <w:rsid w:val="00182A6E"/>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A34"/>
    <w:rsid w:val="00367C83"/>
    <w:rsid w:val="0037010B"/>
    <w:rsid w:val="0037139C"/>
    <w:rsid w:val="00371435"/>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40522"/>
    <w:rsid w:val="0044152F"/>
    <w:rsid w:val="00441CF3"/>
    <w:rsid w:val="00441DF2"/>
    <w:rsid w:val="00442037"/>
    <w:rsid w:val="00443B7C"/>
    <w:rsid w:val="00445C87"/>
    <w:rsid w:val="0044651D"/>
    <w:rsid w:val="004467DC"/>
    <w:rsid w:val="004467E1"/>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0920"/>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A65E3"/>
    <w:rsid w:val="005B2B80"/>
    <w:rsid w:val="005B306E"/>
    <w:rsid w:val="005B40A3"/>
    <w:rsid w:val="005B5CD0"/>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4F66"/>
    <w:rsid w:val="00665B97"/>
    <w:rsid w:val="00666A19"/>
    <w:rsid w:val="006672B6"/>
    <w:rsid w:val="00671648"/>
    <w:rsid w:val="00672740"/>
    <w:rsid w:val="006755B9"/>
    <w:rsid w:val="006756D0"/>
    <w:rsid w:val="00675B02"/>
    <w:rsid w:val="00676043"/>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1DD4"/>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817"/>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C37"/>
    <w:rsid w:val="008F7C9D"/>
    <w:rsid w:val="009038E0"/>
    <w:rsid w:val="00904AEE"/>
    <w:rsid w:val="00904BD3"/>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5E3"/>
    <w:rsid w:val="009B7B8A"/>
    <w:rsid w:val="009C25FA"/>
    <w:rsid w:val="009C6AA0"/>
    <w:rsid w:val="009C740F"/>
    <w:rsid w:val="009C7C4B"/>
    <w:rsid w:val="009C7CC5"/>
    <w:rsid w:val="009D25CD"/>
    <w:rsid w:val="009D2746"/>
    <w:rsid w:val="009D289F"/>
    <w:rsid w:val="009D28C0"/>
    <w:rsid w:val="009D679A"/>
    <w:rsid w:val="009D687D"/>
    <w:rsid w:val="009D6B06"/>
    <w:rsid w:val="009D6D77"/>
    <w:rsid w:val="009E14B3"/>
    <w:rsid w:val="009E2262"/>
    <w:rsid w:val="009E40F4"/>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0C42"/>
    <w:rsid w:val="00A22BDD"/>
    <w:rsid w:val="00A2532A"/>
    <w:rsid w:val="00A31C85"/>
    <w:rsid w:val="00A33E4C"/>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2443"/>
    <w:rsid w:val="00A93FC0"/>
    <w:rsid w:val="00A96CF9"/>
    <w:rsid w:val="00A96F1B"/>
    <w:rsid w:val="00A97AEF"/>
    <w:rsid w:val="00AA1E0C"/>
    <w:rsid w:val="00AA4312"/>
    <w:rsid w:val="00AA4C74"/>
    <w:rsid w:val="00AA61AE"/>
    <w:rsid w:val="00AA72DC"/>
    <w:rsid w:val="00AB0F26"/>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3C9A"/>
    <w:rsid w:val="00BE5AAB"/>
    <w:rsid w:val="00BE5EF7"/>
    <w:rsid w:val="00BE5FBB"/>
    <w:rsid w:val="00BE7980"/>
    <w:rsid w:val="00BF0C18"/>
    <w:rsid w:val="00BF3486"/>
    <w:rsid w:val="00C030F2"/>
    <w:rsid w:val="00C0531E"/>
    <w:rsid w:val="00C055E3"/>
    <w:rsid w:val="00C069EB"/>
    <w:rsid w:val="00C06D75"/>
    <w:rsid w:val="00C1392C"/>
    <w:rsid w:val="00C13DD0"/>
    <w:rsid w:val="00C1406E"/>
    <w:rsid w:val="00C14D65"/>
    <w:rsid w:val="00C1523D"/>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DF6351"/>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40D36"/>
    <w:rsid w:val="00E44911"/>
    <w:rsid w:val="00E46E5A"/>
    <w:rsid w:val="00E52ECE"/>
    <w:rsid w:val="00E538BF"/>
    <w:rsid w:val="00E56AEB"/>
    <w:rsid w:val="00E56DEB"/>
    <w:rsid w:val="00E60A40"/>
    <w:rsid w:val="00E60CCE"/>
    <w:rsid w:val="00E60E31"/>
    <w:rsid w:val="00E6181D"/>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3548"/>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8784</Words>
  <Characters>5007</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2025-06-06T11:33:00Z</dcterms:created>
  <dcterms:modified xsi:type="dcterms:W3CDTF">2025-06-06T11:33:00Z</dcterms:modified>
</cp:coreProperties>
</file>